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bl>
      <w:tblPr>
        <w:tblStyle w:val="Table1"/>
        <w:tblW w:w="10395.0" w:type="dxa"/>
        <w:jc w:val="left"/>
        <w:tblInd w:w="-90.0" w:type="dxa"/>
        <w:tblLayout w:type="fixed"/>
        <w:tblLook w:val="0000"/>
      </w:tblPr>
      <w:tblGrid>
        <w:gridCol w:w="1680"/>
        <w:gridCol w:w="8610"/>
        <w:gridCol w:w="105"/>
        <w:tblGridChange w:id="0">
          <w:tblGrid>
            <w:gridCol w:w="1680"/>
            <w:gridCol w:w="8610"/>
            <w:gridCol w:w="105"/>
          </w:tblGrid>
        </w:tblGridChange>
      </w:tblGrid>
      <w:tr>
        <w:trPr>
          <w:cantSplit w:val="0"/>
          <w:trHeight w:val="252" w:hRule="atLeast"/>
          <w:tblHeader w:val="0"/>
        </w:trPr>
        <w:tc>
          <w:tcPr/>
          <w:p w:rsidR="00000000" w:rsidDel="00000000" w:rsidP="00000000" w:rsidRDefault="00000000" w:rsidRPr="00000000" w14:paraId="0000000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Description:</w:t>
            </w:r>
            <w:r w:rsidDel="00000000" w:rsidR="00000000" w:rsidRPr="00000000">
              <w:rPr>
                <w:rtl w:val="0"/>
              </w:rPr>
            </w:r>
          </w:p>
          <w:p w:rsidR="00000000" w:rsidDel="00000000" w:rsidP="00000000" w:rsidRDefault="00000000" w:rsidRPr="00000000" w14:paraId="0000000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4">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0"/>
                <w:szCs w:val="20"/>
                <w:rtl w:val="0"/>
              </w:rPr>
              <w:t xml:space="preserve">Mathematical Modeling is a problem-based course that emphasizes using mathematics to represent, analyze, and solve real-world problems. Students will learn how to create and interpret models involving algebra, geometry, probability, statistics, and functions. The course highlights connections between mathematics and everyday applications such as finance, science, engineering, technology, and social sciences. Through projects, group work, and technology-based activities, students will develop critical thinking, collaboration, and communication skills. By the end of the course, students will be able to apply multiple strategies to approach complex, open-ended problems and justify their solutions with mathematical reasoning.</w:t>
            </w:r>
            <w:r w:rsidDel="00000000" w:rsidR="00000000" w:rsidRPr="00000000">
              <w:rPr>
                <w:rtl w:val="0"/>
              </w:rPr>
            </w:r>
          </w:p>
        </w:tc>
        <w:tc>
          <w:tcPr/>
          <w:p w:rsidR="00000000" w:rsidDel="00000000" w:rsidP="00000000" w:rsidRDefault="00000000" w:rsidRPr="00000000" w14:paraId="0000000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7">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w:t>
            </w:r>
          </w:p>
        </w:tc>
        <w:tc>
          <w:tcPr/>
          <w:p w:rsidR="00000000" w:rsidDel="00000000" w:rsidP="00000000" w:rsidRDefault="00000000" w:rsidRPr="00000000" w14:paraId="0000000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Objectives:</w:t>
            </w:r>
            <w:r w:rsidDel="00000000" w:rsidR="00000000" w:rsidRPr="00000000">
              <w:rPr>
                <w:rtl w:val="0"/>
              </w:rPr>
            </w:r>
          </w:p>
        </w:tc>
        <w:tc>
          <w:tcPr/>
          <w:p w:rsidR="00000000" w:rsidDel="00000000" w:rsidP="00000000" w:rsidRDefault="00000000" w:rsidRPr="00000000" w14:paraId="0000000A">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meet all objectives for mathematics as set forth by the Alabama Course of Study and Madison City Schools.</w:t>
            </w:r>
          </w:p>
          <w:p w:rsidR="00000000" w:rsidDel="00000000" w:rsidP="00000000" w:rsidRDefault="00000000" w:rsidRPr="00000000" w14:paraId="0000000B">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0C">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Classroom Expectations:</w:t>
            </w:r>
            <w:r w:rsidDel="00000000" w:rsidR="00000000" w:rsidRPr="00000000">
              <w:rPr>
                <w:rtl w:val="0"/>
              </w:rPr>
            </w:r>
          </w:p>
          <w:p w:rsidR="00000000" w:rsidDel="00000000" w:rsidP="00000000" w:rsidRDefault="00000000" w:rsidRPr="00000000" w14:paraId="0000000E">
            <w:pPr>
              <w:spacing w:line="240" w:lineRule="auto"/>
              <w:ind w:hanging="2"/>
              <w:jc w:val="both"/>
              <w:rPr>
                <w:rFonts w:ascii="Times New Roman" w:cs="Times New Roman" w:eastAsia="Times New Roman" w:hAnsi="Times New Roman"/>
                <w:sz w:val="20"/>
                <w:szCs w:val="20"/>
                <w:highlight w:val="white"/>
                <w:u w:val="single"/>
              </w:rPr>
            </w:pPr>
            <w:r w:rsidDel="00000000" w:rsidR="00000000" w:rsidRPr="00000000">
              <w:rPr>
                <w:rtl w:val="0"/>
              </w:rPr>
            </w:r>
          </w:p>
          <w:p w:rsidR="00000000" w:rsidDel="00000000" w:rsidP="00000000" w:rsidRDefault="00000000" w:rsidRPr="00000000" w14:paraId="0000000F">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Cell Phone Expectations</w:t>
            </w:r>
          </w:p>
          <w:p w:rsidR="00000000" w:rsidDel="00000000" w:rsidP="00000000" w:rsidRDefault="00000000" w:rsidRPr="00000000" w14:paraId="0000001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Tardy Policy</w:t>
            </w:r>
          </w:p>
        </w:tc>
        <w:tc>
          <w:tcPr/>
          <w:p w:rsidR="00000000" w:rsidDel="00000000" w:rsidP="00000000" w:rsidRDefault="00000000" w:rsidRPr="00000000" w14:paraId="0000001A">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B">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ALL electronic devices are prohibited to be used during the instructional day. This is from 8:12-3:28. This includes: cell phones, smart watches, earbuds/headphones/airpods, tablets, and personal computers (school issues laptops will be allowed). Discipline will be given to ANY student who uses an electronic device. If you bring your device to school, it MUST be placed in your bookbag. It cannot be on your person.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late to ANY class, without a pass, will report to a tardy scanning station. </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input your identification number on the pin pad. A tardy slip will be printed for you to report to class. Parent email will be sent for every tardy. Discipline will be as follows: 3 total tardies will result in 1 day of ISS; 6 total tardies will result in 2 days of ISS; </w:t>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Progressive discipline to follow. </w:t>
            </w:r>
          </w:p>
          <w:p w:rsidR="00000000" w:rsidDel="00000000" w:rsidP="00000000" w:rsidRDefault="00000000" w:rsidRPr="00000000" w14:paraId="00000021">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22">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Grading Policy:</w:t>
            </w:r>
            <w:r w:rsidDel="00000000" w:rsidR="00000000" w:rsidRPr="00000000">
              <w:rPr>
                <w:rtl w:val="0"/>
              </w:rPr>
            </w:r>
          </w:p>
        </w:tc>
        <w:tc>
          <w:tcPr/>
          <w:p w:rsidR="00000000" w:rsidDel="00000000" w:rsidP="00000000" w:rsidRDefault="00000000" w:rsidRPr="00000000" w14:paraId="00000024">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Grades are based on a 100 point scale.  We have two types of grades: daily grades (30% of final grade) and tests (70% of final grade). The percentage based grading scale is as follows:  A (90-100), B (80-89), C (70-79), D (65-69), and F (below 65).  Grades will be a reflection of mastery of the standards.  Make sure all absences are excused as class work can be made up and graded for excused absences only. </w:t>
            </w:r>
          </w:p>
          <w:p w:rsidR="00000000" w:rsidDel="00000000" w:rsidP="00000000" w:rsidRDefault="00000000" w:rsidRPr="00000000" w14:paraId="00000025">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Cheating/plagiarizing will be handled by the teacher at teacher discretion. </w:t>
            </w:r>
          </w:p>
        </w:tc>
        <w:tc>
          <w:tcPr/>
          <w:p w:rsidR="00000000" w:rsidDel="00000000" w:rsidP="00000000" w:rsidRDefault="00000000" w:rsidRPr="00000000" w14:paraId="00000026">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9">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Exam Exemption Policy</w:t>
            </w:r>
          </w:p>
          <w:p w:rsidR="00000000" w:rsidDel="00000000" w:rsidP="00000000" w:rsidRDefault="00000000" w:rsidRPr="00000000" w14:paraId="0000002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2">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3">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8">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Make-up Work Policy:</w:t>
            </w:r>
            <w:r w:rsidDel="00000000" w:rsidR="00000000" w:rsidRPr="00000000">
              <w:rPr>
                <w:rtl w:val="0"/>
              </w:rPr>
            </w:r>
          </w:p>
        </w:tc>
        <w:tc>
          <w:tcPr/>
          <w:p w:rsidR="00000000" w:rsidDel="00000000" w:rsidP="00000000" w:rsidRDefault="00000000" w:rsidRPr="00000000" w14:paraId="00000039">
            <w:pPr>
              <w:spacing w:line="240" w:lineRule="auto"/>
              <w:ind w:hanging="2"/>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000000" w:rsidDel="00000000" w:rsidP="00000000" w:rsidRDefault="00000000" w:rsidRPr="00000000" w14:paraId="0000003B">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five EXCUSED absences </w:t>
            </w:r>
          </w:p>
          <w:p w:rsidR="00000000" w:rsidDel="00000000" w:rsidP="00000000" w:rsidRDefault="00000000" w:rsidRPr="00000000" w14:paraId="0000003C">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UNEXCUSED absence</w:t>
            </w:r>
          </w:p>
          <w:p w:rsidR="00000000" w:rsidDel="00000000" w:rsidP="00000000" w:rsidRDefault="00000000" w:rsidRPr="00000000" w14:paraId="0000003D">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School Suspension (ISS) for 3 days or more</w:t>
            </w:r>
          </w:p>
          <w:p w:rsidR="00000000" w:rsidDel="00000000" w:rsidP="00000000" w:rsidRDefault="00000000" w:rsidRPr="00000000" w14:paraId="0000003E">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 of School Suspension (OSS)</w:t>
            </w:r>
          </w:p>
          <w:p w:rsidR="00000000" w:rsidDel="00000000" w:rsidP="00000000" w:rsidRDefault="00000000" w:rsidRPr="00000000" w14:paraId="0000003F">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or more days of Alternative School placement</w:t>
            </w:r>
          </w:p>
          <w:p w:rsidR="00000000" w:rsidDel="00000000" w:rsidP="00000000" w:rsidRDefault="00000000" w:rsidRPr="00000000" w14:paraId="00000040">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participating in the state standardized assessment for their grade level  (10th PreACT, 11th ACT with Writing, 12th WorkKeys, and AP exams)</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Attendance and full participation in reviews and assignments for the class leading up to the day of the final exam are required.</w:t>
            </w:r>
            <w:r w:rsidDel="00000000" w:rsidR="00000000" w:rsidRPr="00000000">
              <w:rPr>
                <w:rtl w:val="0"/>
              </w:rPr>
            </w:r>
          </w:p>
          <w:p w:rsidR="00000000" w:rsidDel="00000000" w:rsidP="00000000" w:rsidRDefault="00000000" w:rsidRPr="00000000" w14:paraId="00000042">
            <w:pPr>
              <w:widowControl w:val="0"/>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Make-up tests will only be given to a student who has an excused absence. The student must make arrangements with the teacher to take a make-up test. Tests may be taken during Patriot Prep with prior arrangement from each teacher.  A student only has one week. All make-up tests will be administered in the designated classroom on the Patriot Path session roster.</w:t>
            </w:r>
          </w:p>
          <w:p w:rsidR="00000000" w:rsidDel="00000000" w:rsidP="00000000" w:rsidRDefault="00000000" w:rsidRPr="00000000" w14:paraId="0000004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p w:rsidR="00000000" w:rsidDel="00000000" w:rsidP="00000000" w:rsidRDefault="00000000" w:rsidRPr="00000000" w14:paraId="0000004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4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379.609374999999" w:hRule="atLeast"/>
          <w:tblHeader w:val="0"/>
        </w:trPr>
        <w:tc>
          <w:tcPr/>
          <w:p w:rsidR="00000000" w:rsidDel="00000000" w:rsidP="00000000" w:rsidRDefault="00000000" w:rsidRPr="00000000" w14:paraId="0000004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Materials and </w:t>
            </w:r>
          </w:p>
          <w:p w:rsidR="00000000" w:rsidDel="00000000" w:rsidP="00000000" w:rsidRDefault="00000000" w:rsidRPr="00000000" w14:paraId="0000004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Supplies Needed:</w:t>
            </w:r>
          </w:p>
          <w:p w:rsidR="00000000" w:rsidDel="00000000" w:rsidP="00000000" w:rsidRDefault="00000000" w:rsidRPr="00000000" w14:paraId="0000004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5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Laptops</w:t>
            </w:r>
          </w:p>
        </w:tc>
        <w:tc>
          <w:tcPr/>
          <w:p w:rsidR="00000000" w:rsidDel="00000000" w:rsidP="00000000" w:rsidRDefault="00000000" w:rsidRPr="00000000" w14:paraId="00000051">
            <w:pPr>
              <w:spacing w:line="240" w:lineRule="auto"/>
              <w:ind w:hanging="2"/>
              <w:jc w:val="both"/>
              <w:rPr>
                <w:rFonts w:ascii="Times New Roman" w:cs="Times New Roman" w:eastAsia="Times New Roman" w:hAnsi="Times New Roman"/>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Organization of your choice        Optional to contribute to classroom: Printer Paper</w:t>
            </w:r>
          </w:p>
          <w:p w:rsidR="00000000" w:rsidDel="00000000" w:rsidP="00000000" w:rsidRDefault="00000000" w:rsidRPr="00000000" w14:paraId="0000005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Pencils                                                                                                    Lined Paper (preferred college ruled)</w:t>
            </w:r>
          </w:p>
          <w:p w:rsidR="00000000" w:rsidDel="00000000" w:rsidP="00000000" w:rsidRDefault="00000000" w:rsidRPr="00000000" w14:paraId="0000005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Calculator                                                                                               Tissues</w:t>
            </w:r>
          </w:p>
          <w:p w:rsidR="00000000" w:rsidDel="00000000" w:rsidP="00000000" w:rsidRDefault="00000000" w:rsidRPr="00000000" w14:paraId="00000055">
            <w:pPr>
              <w:spacing w:line="276" w:lineRule="auto"/>
              <w:ind w:hanging="2"/>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line="276"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r w:rsidDel="00000000" w:rsidR="00000000" w:rsidRPr="00000000">
              <w:rPr>
                <w:rtl w:val="0"/>
              </w:rPr>
            </w:r>
          </w:p>
        </w:tc>
        <w:tc>
          <w:tcPr/>
          <w:p w:rsidR="00000000" w:rsidDel="00000000" w:rsidP="00000000" w:rsidRDefault="00000000" w:rsidRPr="00000000" w14:paraId="00000057">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49.98046874999997" w:hRule="atLeast"/>
          <w:tblHeader w:val="0"/>
        </w:trPr>
        <w:tc>
          <w:tcPr/>
          <w:p w:rsidR="00000000" w:rsidDel="00000000" w:rsidP="00000000" w:rsidRDefault="00000000" w:rsidRPr="00000000" w14:paraId="0000005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A">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C">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D">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5E">
      <w:pPr>
        <w:widowControl w:val="0"/>
        <w:rPr>
          <w:rFonts w:ascii="Times New Roman" w:cs="Times New Roman" w:eastAsia="Times New Roman" w:hAnsi="Times New Roman"/>
          <w:sz w:val="20"/>
          <w:szCs w:val="20"/>
        </w:rPr>
      </w:pPr>
      <w:r w:rsidDel="00000000" w:rsidR="00000000" w:rsidRPr="00000000">
        <w:rPr>
          <w:rtl w:val="0"/>
        </w:rPr>
      </w:r>
    </w:p>
    <w:tbl>
      <w:tblPr>
        <w:tblStyle w:val="Table2"/>
        <w:tblW w:w="10380.0" w:type="dxa"/>
        <w:jc w:val="left"/>
        <w:tblInd w:w="-118.0" w:type="dxa"/>
        <w:tblLayout w:type="fixed"/>
        <w:tblLook w:val="0000"/>
      </w:tblPr>
      <w:tblGrid>
        <w:gridCol w:w="1065"/>
        <w:gridCol w:w="9315"/>
        <w:tblGridChange w:id="0">
          <w:tblGrid>
            <w:gridCol w:w="1065"/>
            <w:gridCol w:w="9315"/>
          </w:tblGrid>
        </w:tblGridChange>
      </w:tblGrid>
      <w:tr>
        <w:trPr>
          <w:cantSplit w:val="0"/>
          <w:trHeight w:val="22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1">
            <w:pPr>
              <w:spacing w:line="240" w:lineRule="auto"/>
              <w:ind w:hanging="2"/>
              <w:rPr>
                <w:b w:val="1"/>
                <w:sz w:val="16"/>
                <w:szCs w:val="16"/>
              </w:rPr>
            </w:pPr>
            <w:r w:rsidDel="00000000" w:rsidR="00000000" w:rsidRPr="00000000">
              <w:rPr>
                <w:b w:val="1"/>
                <w:sz w:val="16"/>
                <w:szCs w:val="16"/>
                <w:rtl w:val="0"/>
              </w:rPr>
              <w:t xml:space="preserve">Week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Introduction/Measurement Foundations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spacing w:line="240" w:lineRule="auto"/>
              <w:ind w:hanging="2"/>
              <w:rPr>
                <w:b w:val="1"/>
                <w:sz w:val="16"/>
                <w:szCs w:val="16"/>
              </w:rPr>
            </w:pPr>
            <w:r w:rsidDel="00000000" w:rsidR="00000000" w:rsidRPr="00000000">
              <w:rPr>
                <w:b w:val="1"/>
                <w:sz w:val="16"/>
                <w:szCs w:val="16"/>
                <w:rtl w:val="0"/>
              </w:rPr>
              <w:t xml:space="preserve">Week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Foundations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5">
            <w:pPr>
              <w:spacing w:line="240" w:lineRule="auto"/>
              <w:ind w:hanging="2"/>
              <w:rPr>
                <w:b w:val="1"/>
                <w:sz w:val="16"/>
                <w:szCs w:val="16"/>
              </w:rPr>
            </w:pPr>
            <w:r w:rsidDel="00000000" w:rsidR="00000000" w:rsidRPr="00000000">
              <w:rPr>
                <w:b w:val="1"/>
                <w:sz w:val="16"/>
                <w:szCs w:val="16"/>
                <w:rtl w:val="0"/>
              </w:rPr>
              <w:t xml:space="preserve">Week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Foundations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7">
            <w:pPr>
              <w:spacing w:line="240" w:lineRule="auto"/>
              <w:ind w:hanging="2"/>
              <w:rPr>
                <w:b w:val="1"/>
                <w:sz w:val="16"/>
                <w:szCs w:val="16"/>
              </w:rPr>
            </w:pPr>
            <w:r w:rsidDel="00000000" w:rsidR="00000000" w:rsidRPr="00000000">
              <w:rPr>
                <w:b w:val="1"/>
                <w:sz w:val="16"/>
                <w:szCs w:val="16"/>
                <w:rtl w:val="0"/>
              </w:rPr>
              <w:t xml:space="preserve">Week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9">
            <w:pPr>
              <w:spacing w:line="240" w:lineRule="auto"/>
              <w:ind w:hanging="2"/>
              <w:rPr>
                <w:b w:val="1"/>
                <w:sz w:val="16"/>
                <w:szCs w:val="16"/>
              </w:rPr>
            </w:pPr>
            <w:r w:rsidDel="00000000" w:rsidR="00000000" w:rsidRPr="00000000">
              <w:rPr>
                <w:b w:val="1"/>
                <w:sz w:val="16"/>
                <w:szCs w:val="16"/>
                <w:rtl w:val="0"/>
              </w:rPr>
              <w:t xml:space="preserve">Week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B">
            <w:pPr>
              <w:spacing w:line="240" w:lineRule="auto"/>
              <w:ind w:hanging="2"/>
              <w:rPr>
                <w:b w:val="1"/>
                <w:sz w:val="16"/>
                <w:szCs w:val="16"/>
              </w:rPr>
            </w:pPr>
            <w:r w:rsidDel="00000000" w:rsidR="00000000" w:rsidRPr="00000000">
              <w:rPr>
                <w:b w:val="1"/>
                <w:sz w:val="16"/>
                <w:szCs w:val="16"/>
                <w:rtl w:val="0"/>
              </w:rPr>
              <w:t xml:space="preserve">Week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D">
            <w:pPr>
              <w:spacing w:line="240" w:lineRule="auto"/>
              <w:ind w:hanging="2"/>
              <w:rPr>
                <w:b w:val="1"/>
                <w:sz w:val="16"/>
                <w:szCs w:val="16"/>
              </w:rPr>
            </w:pPr>
            <w:r w:rsidDel="00000000" w:rsidR="00000000" w:rsidRPr="00000000">
              <w:rPr>
                <w:b w:val="1"/>
                <w:sz w:val="16"/>
                <w:szCs w:val="16"/>
                <w:rtl w:val="0"/>
              </w:rPr>
              <w:t xml:space="preserve">Week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F">
            <w:pPr>
              <w:spacing w:line="240" w:lineRule="auto"/>
              <w:ind w:hanging="2"/>
              <w:rPr>
                <w:b w:val="1"/>
                <w:sz w:val="16"/>
                <w:szCs w:val="16"/>
              </w:rPr>
            </w:pPr>
            <w:r w:rsidDel="00000000" w:rsidR="00000000" w:rsidRPr="00000000">
              <w:rPr>
                <w:b w:val="1"/>
                <w:sz w:val="16"/>
                <w:szCs w:val="16"/>
                <w:rtl w:val="0"/>
              </w:rPr>
              <w:t xml:space="preserve">Week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1">
            <w:pPr>
              <w:spacing w:line="240" w:lineRule="auto"/>
              <w:ind w:hanging="2"/>
              <w:rPr>
                <w:b w:val="1"/>
                <w:sz w:val="16"/>
                <w:szCs w:val="16"/>
              </w:rPr>
            </w:pPr>
            <w:r w:rsidDel="00000000" w:rsidR="00000000" w:rsidRPr="00000000">
              <w:rPr>
                <w:b w:val="1"/>
                <w:sz w:val="16"/>
                <w:szCs w:val="16"/>
                <w:rtl w:val="0"/>
              </w:rPr>
              <w:t xml:space="preserve">Week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3">
            <w:pPr>
              <w:spacing w:line="240" w:lineRule="auto"/>
              <w:ind w:hanging="2"/>
              <w:rPr>
                <w:b w:val="1"/>
                <w:sz w:val="16"/>
                <w:szCs w:val="16"/>
              </w:rPr>
            </w:pPr>
            <w:r w:rsidDel="00000000" w:rsidR="00000000" w:rsidRPr="00000000">
              <w:rPr>
                <w:b w:val="1"/>
                <w:sz w:val="16"/>
                <w:szCs w:val="16"/>
                <w:rtl w:val="0"/>
              </w:rPr>
              <w:t xml:space="preserve">Week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spacing w:line="240" w:lineRule="auto"/>
              <w:ind w:hanging="2"/>
              <w:rPr>
                <w:b w:val="1"/>
                <w:sz w:val="16"/>
                <w:szCs w:val="16"/>
              </w:rPr>
            </w:pPr>
            <w:r w:rsidDel="00000000" w:rsidR="00000000" w:rsidRPr="00000000">
              <w:rPr>
                <w:b w:val="1"/>
                <w:sz w:val="16"/>
                <w:szCs w:val="16"/>
                <w:rtl w:val="0"/>
              </w:rPr>
              <w:t xml:space="preserve">Week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7">
            <w:pPr>
              <w:spacing w:line="240" w:lineRule="auto"/>
              <w:ind w:hanging="2"/>
              <w:rPr>
                <w:b w:val="1"/>
                <w:sz w:val="16"/>
                <w:szCs w:val="16"/>
              </w:rPr>
            </w:pPr>
            <w:r w:rsidDel="00000000" w:rsidR="00000000" w:rsidRPr="00000000">
              <w:rPr>
                <w:b w:val="1"/>
                <w:sz w:val="16"/>
                <w:szCs w:val="16"/>
                <w:rtl w:val="0"/>
              </w:rPr>
              <w:t xml:space="preserve">Week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spacing w:line="240" w:lineRule="auto"/>
              <w:ind w:hanging="2"/>
              <w:rPr>
                <w:b w:val="1"/>
                <w:sz w:val="16"/>
                <w:szCs w:val="16"/>
              </w:rPr>
            </w:pPr>
            <w:r w:rsidDel="00000000" w:rsidR="00000000" w:rsidRPr="00000000">
              <w:rPr>
                <w:b w:val="1"/>
                <w:sz w:val="16"/>
                <w:szCs w:val="16"/>
                <w:rtl w:val="0"/>
              </w:rPr>
              <w:t xml:space="preserve">Week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spacing w:line="240" w:lineRule="auto"/>
              <w:ind w:hanging="2"/>
              <w:rPr>
                <w:b w:val="1"/>
                <w:sz w:val="16"/>
                <w:szCs w:val="16"/>
              </w:rPr>
            </w:pPr>
            <w:r w:rsidDel="00000000" w:rsidR="00000000" w:rsidRPr="00000000">
              <w:rPr>
                <w:b w:val="1"/>
                <w:sz w:val="16"/>
                <w:szCs w:val="16"/>
                <w:rtl w:val="0"/>
              </w:rPr>
              <w:t xml:space="preserve">Week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spacing w:line="240" w:lineRule="auto"/>
              <w:ind w:hanging="2"/>
              <w:rPr>
                <w:b w:val="1"/>
                <w:sz w:val="16"/>
                <w:szCs w:val="16"/>
              </w:rPr>
            </w:pPr>
            <w:r w:rsidDel="00000000" w:rsidR="00000000" w:rsidRPr="00000000">
              <w:rPr>
                <w:b w:val="1"/>
                <w:sz w:val="16"/>
                <w:szCs w:val="16"/>
                <w:rtl w:val="0"/>
              </w:rPr>
              <w:t xml:space="preserve">Week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spacing w:line="240" w:lineRule="auto"/>
              <w:ind w:hanging="2"/>
              <w:rPr>
                <w:b w:val="1"/>
                <w:sz w:val="16"/>
                <w:szCs w:val="16"/>
              </w:rPr>
            </w:pPr>
            <w:r w:rsidDel="00000000" w:rsidR="00000000" w:rsidRPr="00000000">
              <w:rPr>
                <w:b w:val="1"/>
                <w:sz w:val="16"/>
                <w:szCs w:val="16"/>
                <w:rtl w:val="0"/>
              </w:rPr>
              <w:t xml:space="preserve">Week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Analysis &amp; Probability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spacing w:line="240" w:lineRule="auto"/>
              <w:ind w:hanging="2"/>
              <w:rPr>
                <w:b w:val="1"/>
                <w:sz w:val="16"/>
                <w:szCs w:val="16"/>
              </w:rPr>
            </w:pPr>
            <w:r w:rsidDel="00000000" w:rsidR="00000000" w:rsidRPr="00000000">
              <w:rPr>
                <w:b w:val="1"/>
                <w:sz w:val="16"/>
                <w:szCs w:val="16"/>
                <w:rtl w:val="0"/>
              </w:rPr>
              <w:t xml:space="preserve">Week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Analysis &amp; Probability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3">
            <w:pPr>
              <w:spacing w:line="240" w:lineRule="auto"/>
              <w:ind w:hanging="2"/>
              <w:rPr>
                <w:b w:val="1"/>
                <w:sz w:val="16"/>
                <w:szCs w:val="16"/>
              </w:rPr>
            </w:pPr>
            <w:r w:rsidDel="00000000" w:rsidR="00000000" w:rsidRPr="00000000">
              <w:rPr>
                <w:b w:val="1"/>
                <w:sz w:val="16"/>
                <w:szCs w:val="16"/>
                <w:rtl w:val="0"/>
              </w:rPr>
              <w:t xml:space="preserve">Week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Final Review &amp; Final Exam</w:t>
            </w:r>
          </w:p>
        </w:tc>
      </w:tr>
    </w:tbl>
    <w:p w:rsidR="00000000" w:rsidDel="00000000" w:rsidP="00000000" w:rsidRDefault="00000000" w:rsidRPr="00000000" w14:paraId="00000085">
      <w:pPr>
        <w:spacing w:line="24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*This is a tentative plan and may change at the discretion of the teacher.</w:t>
      </w:r>
    </w:p>
    <w:p w:rsidR="00000000" w:rsidDel="00000000" w:rsidP="00000000" w:rsidRDefault="00000000" w:rsidRPr="00000000" w14:paraId="00000086">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I look forward to having a great year!  I feel fortunate to have your child in my class this semester and hope that you will contact me should you have any concerns about the progress of your child or any aspect of the instruction.  With your child, please read the attached policies, then sign and date this signature page and have your child submit this in school by the end of the week.  Please provide a current email address and phone number at which I can contact you should the need arise.  Please contact me at school via my email with any concerns.</w:t>
      </w:r>
    </w:p>
    <w:p w:rsidR="00000000" w:rsidDel="00000000" w:rsidP="00000000" w:rsidRDefault="00000000" w:rsidRPr="00000000" w14:paraId="00000088">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Fonts w:ascii="Times" w:cs="Times" w:eastAsia="Times" w:hAnsi="Times"/>
          <w:sz w:val="20"/>
          <w:szCs w:val="20"/>
          <w:rtl w:val="0"/>
        </w:rPr>
        <w:t xml:space="preserve">Game On!</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sign/complete below to acknowledge that you have received, read, and understood the syllabus.</w:t>
      </w:r>
      <w:r w:rsidDel="00000000" w:rsidR="00000000" w:rsidRPr="00000000">
        <w:rPr>
          <w:rtl w:val="0"/>
        </w:rPr>
      </w:r>
    </w:p>
    <w:tbl>
      <w:tblPr>
        <w:tblStyle w:val="Table3"/>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5160"/>
        <w:tblGridChange w:id="0">
          <w:tblGrid>
            <w:gridCol w:w="4995"/>
            <w:gridCol w:w="5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r>
    </w:tbl>
    <w:p w:rsidR="00000000" w:rsidDel="00000000" w:rsidP="00000000" w:rsidRDefault="00000000" w:rsidRPr="00000000" w14:paraId="00000092">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spacing w:line="240" w:lineRule="auto"/>
      <w:ind w:hanging="2"/>
      <w:jc w:val="center"/>
      <w:rPr>
        <w:rFonts w:ascii="Times New Roman" w:cs="Times New Roman" w:eastAsia="Times New Roman" w:hAnsi="Times New Roman"/>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2347913</wp:posOffset>
          </wp:positionH>
          <wp:positionV relativeFrom="paragraph">
            <wp:posOffset>-314324</wp:posOffset>
          </wp:positionV>
          <wp:extent cx="1247775"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795338"/>
                  </a:xfrm>
                  <a:prstGeom prst="rect"/>
                  <a:ln/>
                </pic:spPr>
              </pic:pic>
            </a:graphicData>
          </a:graphic>
        </wp:anchor>
      </w:drawing>
    </w:r>
  </w:p>
  <w:p w:rsidR="00000000" w:rsidDel="00000000" w:rsidP="00000000" w:rsidRDefault="00000000" w:rsidRPr="00000000" w14:paraId="00000096">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7">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8">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2025-2026</w:t>
    </w:r>
  </w:p>
  <w:p w:rsidR="00000000" w:rsidDel="00000000" w:rsidP="00000000" w:rsidRDefault="00000000" w:rsidRPr="00000000" w14:paraId="00000099">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MATH MODELING</w:t>
    </w:r>
  </w:p>
  <w:p w:rsidR="00000000" w:rsidDel="00000000" w:rsidP="00000000" w:rsidRDefault="00000000" w:rsidRPr="00000000" w14:paraId="0000009A">
    <w:pPr>
      <w:spacing w:line="240" w:lineRule="auto"/>
      <w:ind w:hanging="2"/>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B">
    <w:pPr>
      <w:spacing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Teacher Name</w:t>
    </w:r>
    <w:r w:rsidDel="00000000" w:rsidR="00000000" w:rsidRPr="00000000">
      <w:rPr>
        <w:rFonts w:ascii="Times New Roman" w:cs="Times New Roman" w:eastAsia="Times New Roman" w:hAnsi="Times New Roman"/>
        <w:sz w:val="20"/>
        <w:szCs w:val="20"/>
        <w:rtl w:val="0"/>
      </w:rPr>
      <w:t xml:space="preserve">:  Ms. Jen Tubbs                        </w:t>
    </w:r>
  </w:p>
  <w:p w:rsidR="00000000" w:rsidDel="00000000" w:rsidP="00000000" w:rsidRDefault="00000000" w:rsidRPr="00000000" w14:paraId="0000009C">
    <w:pPr>
      <w:spacing w:line="240" w:lineRule="auto"/>
      <w:ind w:hanging="2"/>
      <w:rPr>
        <w:rFonts w:ascii="Times New Roman" w:cs="Times New Roman" w:eastAsia="Times New Roman" w:hAnsi="Times New Roman"/>
        <w:b w:val="1"/>
        <w:i w:val="1"/>
        <w:smallCaps w:val="1"/>
        <w:sz w:val="34"/>
        <w:szCs w:val="34"/>
      </w:rPr>
    </w:pPr>
    <w:r w:rsidDel="00000000" w:rsidR="00000000" w:rsidRPr="00000000">
      <w:rPr>
        <w:rFonts w:ascii="Times New Roman" w:cs="Times New Roman" w:eastAsia="Times New Roman" w:hAnsi="Times New Roman"/>
        <w:b w:val="1"/>
        <w:sz w:val="20"/>
        <w:szCs w:val="20"/>
        <w:rtl w:val="0"/>
      </w:rPr>
      <w:t xml:space="preserve">Teacher E-mail:</w:t>
    </w:r>
    <w:r w:rsidDel="00000000" w:rsidR="00000000" w:rsidRPr="00000000">
      <w:rPr>
        <w:rFonts w:ascii="Times New Roman" w:cs="Times New Roman" w:eastAsia="Times New Roman" w:hAnsi="Times New Roman"/>
        <w:sz w:val="20"/>
        <w:szCs w:val="20"/>
        <w:rtl w:val="0"/>
      </w:rPr>
      <w:t xml:space="preserve"> jatubbs@madisoncity.k12.al.us</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